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848DA" w14:textId="23CDAF69" w:rsidR="006B2EAB" w:rsidRPr="001F760A" w:rsidRDefault="00362051" w:rsidP="001F760A">
      <w:pPr>
        <w:spacing w:after="0" w:line="36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 xml:space="preserve">                      </w:t>
      </w:r>
      <w:r w:rsidR="005B2F59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 xml:space="preserve">        </w:t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 xml:space="preserve">    </w:t>
      </w:r>
      <w:r w:rsidR="00FE594F"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  <w:t>Jelena Božilović/Jelena Petković</w:t>
      </w:r>
    </w:p>
    <w:p w14:paraId="6A31C3EA" w14:textId="78F191C2" w:rsidR="00FE594F" w:rsidRPr="001F760A" w:rsidRDefault="00FE594F" w:rsidP="001F760A">
      <w:pPr>
        <w:spacing w:after="0" w:line="36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  <w:t xml:space="preserve">              </w:t>
      </w:r>
      <w:r w:rsidR="005B2F59"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  <w:t xml:space="preserve">        </w:t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hr-HR"/>
          <w14:ligatures w14:val="standardContextual"/>
        </w:rPr>
        <w:t>SOCOLOŠKO ČITANJE GRADSKOG TEKSTA</w:t>
      </w:r>
    </w:p>
    <w:p w14:paraId="63CD1067" w14:textId="40AD8AA0" w:rsidR="006B2EAB" w:rsidRPr="001F760A" w:rsidRDefault="00FE594F" w:rsidP="001F760A">
      <w:pPr>
        <w:spacing w:after="0" w:line="36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</w:pP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ab/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ab/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ab/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Latn-RS"/>
          <w14:ligatures w14:val="standardContextual"/>
        </w:rPr>
        <w:tab/>
        <w:t>recenzija</w:t>
      </w:r>
    </w:p>
    <w:p w14:paraId="3204A84A" w14:textId="77777777" w:rsidR="005B2F59" w:rsidRDefault="006B2EAB" w:rsidP="001F760A">
      <w:pPr>
        <w:spacing w:after="0" w:line="360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val="sr-Cyrl-RS"/>
          <w14:ligatures w14:val="standardContextual"/>
        </w:rPr>
      </w:pP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734181"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Cyrl-RS"/>
          <w14:ligatures w14:val="standardContextual"/>
        </w:rPr>
        <w:tab/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</w:p>
    <w:p w14:paraId="0E500133" w14:textId="77777777" w:rsidR="005B2F59" w:rsidRDefault="005B2F59" w:rsidP="001F760A">
      <w:pPr>
        <w:spacing w:after="0" w:line="360" w:lineRule="auto"/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</w:pPr>
    </w:p>
    <w:p w14:paraId="60691379" w14:textId="77B8F9B1" w:rsidR="004514FD" w:rsidRPr="001F760A" w:rsidRDefault="00F9128C" w:rsidP="005B2F59">
      <w:pPr>
        <w:spacing w:after="0" w:line="360" w:lineRule="auto"/>
        <w:ind w:firstLine="720"/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Studiju čiji je naslov </w:t>
      </w:r>
      <w:r w:rsidRPr="001F760A">
        <w:rPr>
          <w:rFonts w:ascii="Times New Roman" w:hAnsi="Times New Roman" w:cs="Times New Roman"/>
          <w:b/>
          <w:bCs/>
          <w:kern w:val="2"/>
          <w:sz w:val="24"/>
          <w:szCs w:val="24"/>
          <w:lang w:val="sr-Cyrl-RS"/>
          <w14:ligatures w14:val="standardContextual"/>
        </w:rPr>
        <w:t>Sociološko čitanje gradskog teksta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čine uvod, </w:t>
      </w:r>
      <w:r w:rsidR="0014115C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četiri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poglavlja, zaključna razmatranja</w:t>
      </w:r>
      <w:r w:rsidR="004514FD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,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4514FD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literatura, registar imena i beleška o autorkama. Tekst </w:t>
      </w:r>
      <w:r w:rsidR="001F2188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studije </w:t>
      </w:r>
      <w:r w:rsidR="004514FD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ima 141 stranicu.</w:t>
      </w:r>
    </w:p>
    <w:p w14:paraId="012B1C53" w14:textId="3870BB62" w:rsidR="00440556" w:rsidRPr="001F760A" w:rsidRDefault="004514FD" w:rsidP="001F760A">
      <w:pPr>
        <w:spacing w:after="0" w:line="360" w:lineRule="auto"/>
        <w:ind w:firstLine="720"/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Gradu se u ovoj studiji pristupa kao </w:t>
      </w:r>
      <w:r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>semiosferi</w:t>
      </w:r>
      <w:r w:rsidR="00F9128C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jer 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imenovanje ulica</w:t>
      </w:r>
      <w:r w:rsidR="001343E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-odonimija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(uz naziv grada i pojedinih njegovih delova) predstavlja simbolički čin kojim grad stiče određeni</w:t>
      </w:r>
      <w:r w:rsidR="001F2188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BF0AEE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- i to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BF0AEE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ne samo za njegove stanovnike - </w:t>
      </w:r>
      <w:r w:rsidR="001343E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prepoznatljiv 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identitet</w:t>
      </w:r>
      <w:r w:rsidR="008017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.</w:t>
      </w:r>
      <w:r w:rsidR="006B2EAB"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1343E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Imenovanje ulica ima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, </w:t>
      </w:r>
      <w:r w:rsidR="00BF0AE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naravno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,</w:t>
      </w:r>
      <w:r w:rsidR="001343E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i sasvim praktičnu</w:t>
      </w:r>
      <w:r w:rsidR="008B3CD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1343E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funkciju: omogućava orijentaciju i snalaženje stanovnika grada u 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ponegde</w:t>
      </w:r>
      <w:r w:rsidR="001343E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veoma složenom urbanom prostoru. </w:t>
      </w:r>
    </w:p>
    <w:p w14:paraId="2771360D" w14:textId="4CEC7547" w:rsidR="00904068" w:rsidRPr="001F760A" w:rsidRDefault="009B4163" w:rsidP="001F760A">
      <w:pPr>
        <w:spacing w:after="0" w:line="360" w:lineRule="auto"/>
        <w:ind w:firstLine="720"/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U </w:t>
      </w:r>
      <w:r w:rsidR="00440556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C368CB"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>Uvod</w:t>
      </w:r>
      <w:r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>u</w:t>
      </w:r>
      <w:r w:rsidR="00C368CB"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 xml:space="preserve"> </w:t>
      </w:r>
      <w:r w:rsidR="00C368CB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je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pregnantno </w:t>
      </w:r>
      <w:r w:rsidR="00C368CB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izložen pristup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i</w:t>
      </w:r>
      <w:r w:rsidR="00C661B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svrha</w:t>
      </w:r>
      <w:r w:rsidR="00C368CB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 istraživanja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(Ciljevi, predmet  i metode istraživanja nalaze se u trećem poglavlju studije) </w:t>
      </w:r>
      <w:r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 xml:space="preserve">. </w:t>
      </w:r>
      <w:r w:rsidR="00C368CB"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 xml:space="preserve"> Prvo poglavlje</w:t>
      </w:r>
      <w:r w:rsidR="006B2EAB"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A46B25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ima više delova. U 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njegovom </w:t>
      </w:r>
      <w:r w:rsidR="00A46B25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prvom delu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A46B25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je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najpre </w:t>
      </w:r>
      <w:r w:rsidR="00A46B25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prikazano imenovanje gradova u istorijskoj perspektivi. Potom je pažnja usmerena na teorijske pristupe prostornoj dimenziji društva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.  Središni deo prvog poglavlja je posvećen konceptualnim okvirima proučavanja imenovanja ulica. Tu su analizirani koncepti kao što su  kolektivno pamćenje i kultura sećanja </w:t>
      </w:r>
      <w:r w:rsidR="008B3CD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kao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 i kultura zaborava. </w:t>
      </w:r>
      <w:r w:rsidR="006B2EAB"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Sledi razmatranje identiteta grada i 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g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rad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a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kao tekst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a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i urban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e 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memorij</w:t>
      </w:r>
      <w:r w:rsidR="00EB179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e.</w:t>
      </w:r>
      <w:r w:rsidR="00734181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362051" w:rsidRPr="001F760A">
        <w:rPr>
          <w:rFonts w:ascii="Times New Roman" w:hAnsi="Times New Roman" w:cs="Times New Roman"/>
          <w:bCs/>
          <w:kern w:val="2"/>
          <w:sz w:val="24"/>
          <w:szCs w:val="24"/>
          <w:lang w:val="sr-Latn-RS"/>
          <w14:ligatures w14:val="standardContextual"/>
        </w:rPr>
        <w:t xml:space="preserve">    </w:t>
      </w:r>
    </w:p>
    <w:p w14:paraId="4EA94C58" w14:textId="516D5DD6" w:rsidR="0088436E" w:rsidRPr="001F760A" w:rsidRDefault="0049169E" w:rsidP="001F760A">
      <w:pPr>
        <w:spacing w:after="0" w:line="360" w:lineRule="auto"/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</w:pPr>
      <w:r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>Drugo poglavlje</w:t>
      </w: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studije </w:t>
      </w:r>
      <w:r w:rsidR="00940ED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ima tri dela. U prvom delu je analizirana političko-ideološka dimenzija imena ulica tako što se prvo prišlo klasifikaciji političkih pre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/</w:t>
      </w:r>
      <w:r w:rsidR="00940ED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imenovanja imena ulica  da bi se potom pokazalo kako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se</w:t>
      </w:r>
      <w:r w:rsidR="00940ED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preimenovanje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odvija </w:t>
      </w:r>
      <w:r w:rsidR="00940ED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unutar nacizma i potom denacifikacije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i </w:t>
      </w:r>
      <w:r w:rsidR="00940ED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u procesu postkolonijalizma. Posebna pažnja je posvećena 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imenovanjima/preimenovanjima u 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društvima 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koj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a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odlikuje demokratija, multikulturalnost i neoliberalizam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Potom je u fokusu analize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postsocijalističk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a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promen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a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urbane simbolike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i preimenovanje ulica u zemljama bivše socijalitičke </w:t>
      </w:r>
      <w:r w:rsidR="00CA3E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J</w:t>
      </w:r>
      <w:r w:rsidR="00B7555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ugoslavije.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Poslednja dva odeljka ovog poglavlja bave se najpre kulturnom dimenzijom naziva ulica da bi potom bila analizirana 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i 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rodna dimenzija imenovanja ulica u kojoj je </w:t>
      </w:r>
      <w:r w:rsidR="00027C3F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vidljivo ispoljava gore pomenuta</w:t>
      </w:r>
      <w:r w:rsidR="000A71A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kultura zaborava.</w:t>
      </w:r>
      <w:r w:rsidR="00A333C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</w:p>
    <w:p w14:paraId="69AF0287" w14:textId="7B72A3BA" w:rsidR="005E25F3" w:rsidRPr="001F760A" w:rsidRDefault="00A333C2" w:rsidP="001F760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Naslov trećeg poglavlja je </w:t>
      </w:r>
      <w:r w:rsidRPr="001F760A">
        <w:rPr>
          <w:rFonts w:ascii="Times New Roman" w:hAnsi="Times New Roman" w:cs="Times New Roman"/>
          <w:bCs/>
          <w:i/>
          <w:kern w:val="2"/>
          <w:sz w:val="24"/>
          <w:szCs w:val="24"/>
          <w:lang w:val="hr-HR"/>
          <w14:ligatures w14:val="standardContextual"/>
        </w:rPr>
        <w:t>Opis istraživanja i metodološki okvir</w:t>
      </w:r>
      <w:r w:rsidR="0088436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. U njemu je najpre izložen </w:t>
      </w:r>
      <w:r w:rsidR="002B623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k</w:t>
      </w:r>
      <w:r w:rsidR="0088436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ulturno-istorijski identitet grada 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N</w:t>
      </w:r>
      <w:r w:rsidR="0088436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iša da bi  potom 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bio </w:t>
      </w:r>
      <w:r w:rsidR="002B623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objašnjen</w:t>
      </w:r>
      <w:r w:rsidR="0088436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saznajni pristup  istraživanju</w:t>
      </w:r>
      <w:r w:rsidR="00DC1D1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. </w:t>
      </w:r>
      <w:r w:rsidR="00DC1D1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lastRenderedPageBreak/>
        <w:t>Ukazano  je na početke imenovanja ulica u Srbiji i Nišu tokom XIX veka i</w:t>
      </w:r>
      <w:r w:rsidR="00572C3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na </w:t>
      </w:r>
      <w:r w:rsidR="00DC1D1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sve mene kroz </w:t>
      </w:r>
      <w:r w:rsidR="00572C3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koju je  istorija </w:t>
      </w:r>
      <w:r w:rsidR="00F36277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imenovanja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/</w:t>
      </w:r>
      <w:r w:rsidR="00F36277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preimenovanja </w:t>
      </w:r>
      <w:r w:rsidR="00572C3E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prošla.</w:t>
      </w:r>
      <w:r w:rsidR="00CD0FE4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Potom je pokazana norma</w:t>
      </w:r>
      <w:r w:rsidR="00287D96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tivna (zakonska) osnova davanja imena ulicama koja lokalnim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</w:t>
      </w:r>
      <w:r w:rsidR="00287D96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vlastima</w:t>
      </w:r>
      <w:r w:rsidR="002B6232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u Srbiji</w:t>
      </w:r>
      <w:r w:rsidR="00287D96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daje glavnu ulogu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.</w:t>
      </w:r>
      <w:r w:rsidR="005E25F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 Završni deo trećeg poglavlja izlaže metod</w:t>
      </w:r>
      <w:r w:rsidR="00CC4399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>o</w:t>
      </w:r>
      <w:r w:rsidR="005E25F3" w:rsidRPr="001F760A"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  <w:t xml:space="preserve">loški okvir istraživanja. Tu je ekspliciran pristup i metod 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istraživanj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a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 zasnovanog  na komplementarnosti deskriptivnog i eksplanatornog pristupa, koji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ma sledi 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kvantitativn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a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analiz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a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imena ulica. To je opredelilo utvrđivanje  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tri 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osnovn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a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cilj</w:t>
      </w:r>
      <w:r w:rsidR="00DA572C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a</w:t>
      </w:r>
      <w:r w:rsidR="005E25F3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istraživanja, koji su sadržani u nameri: a) da se pruži prikaz socioistorijskog, ideološkog i kulturnog profila Grada Niša, sa fokusom na promenu odonima posebno u periodu od početka postsocijalizma 1992. godine sve do 2020. godine; b) da se utvrde osnovne karakteristike i najvažniji kriterijumi imenovanja i preimenovanja ulica u pomenutom periodu; c) da se pruži opšti prikaz odonima Grada Niša, kao i analiza i interpretacija političko-ideološke, rodne i kulturne perspektive imenovanja i preimenovanja ulica u postsocijalizmu.</w:t>
      </w:r>
    </w:p>
    <w:p w14:paraId="47388E51" w14:textId="379037B5" w:rsidR="00DA572C" w:rsidRPr="001F760A" w:rsidRDefault="00DA572C" w:rsidP="001F760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  <w:r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Gore pomenuti ciljeva istraživanja u potpunosti su ostvareni u završnom, četvrtom poglavlju</w:t>
      </w:r>
      <w:r w:rsidR="00DE008E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u kome su prikazani i interpretirani nalazi  istraživanja imena ulica u Nišu.</w:t>
      </w:r>
      <w:r w:rsidR="001A7971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Najpre je </w:t>
      </w:r>
      <w:r w:rsidR="0034545D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pokazana</w:t>
      </w:r>
      <w:r w:rsidR="001A7971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</w:t>
      </w:r>
      <w:r w:rsidR="00821670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političko-ideološka dimenzija imena ulica i to tako što su izloženi nesocijalistički a potom i socijalistički politički simboli sadržani u odonimima. U sledećem delu ovog poglavlja predmet analize je kulturna dimenzija odonima tako što su pokazani a) umetnost i nauka i  b) religija kao</w:t>
      </w:r>
      <w:r w:rsidR="00CC4399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je</w:t>
      </w:r>
      <w:r w:rsidR="008E2141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d</w:t>
      </w:r>
      <w:r w:rsidR="00CC4399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na od</w:t>
      </w:r>
      <w:r w:rsidR="00821670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osnova  odonimije Niša.</w:t>
      </w:r>
      <w:r w:rsidR="00C30474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Potom je pažnja usmerena na rodnu</w:t>
      </w:r>
      <w:r w:rsidR="00712106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dimenziju imena ulica da bi se u</w:t>
      </w:r>
      <w:r w:rsidR="00CA198B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</w:t>
      </w:r>
      <w:r w:rsidR="00137C24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nastavku </w:t>
      </w:r>
      <w:r w:rsidR="00712106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analizirali lokalni simboli odonimije.</w:t>
      </w:r>
      <w:r w:rsidR="00137C24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Posebno je analiziran proces preimenovanja niških ulica u postsocijalizmu da bi  na kraju ovog poglavlja bilo pokazano kako se odvija proces imenovanja novih gradskih ulica.</w:t>
      </w:r>
      <w:r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</w:t>
      </w:r>
    </w:p>
    <w:p w14:paraId="55DF93D7" w14:textId="2DC356BC" w:rsidR="003D7A30" w:rsidRPr="001F760A" w:rsidRDefault="003D7A30" w:rsidP="001F760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U zaključku</w:t>
      </w:r>
      <w:r w:rsidR="00681B27"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studije</w:t>
      </w:r>
      <w:r w:rsidRPr="001F760A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 xml:space="preserve"> je pokazano</w:t>
      </w:r>
      <w:r w:rsidRPr="001F760A">
        <w:rPr>
          <w:rFonts w:ascii="Times New Roman" w:eastAsia="Calibri" w:hAnsi="Times New Roman" w:cs="Times New Roman"/>
          <w:color w:val="4472C4" w:themeColor="accent1"/>
          <w:sz w:val="24"/>
          <w:szCs w:val="24"/>
          <w:lang w:val="sr-Latn-RS"/>
        </w:rPr>
        <w:t xml:space="preserve"> 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da u nazivima</w:t>
      </w:r>
      <w:r w:rsidR="0008018A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niških</w:t>
      </w:r>
      <w:r w:rsidR="00D25064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ulica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dominiraju politički simboli, ali da nije zanemraljiv ni procenat tzv. neutralnih (geografskih), kao ni kulturnih simbola. Uzme li se u razmatranje političko-ideološka dimenzija imena ulica Niša, aktueln</w:t>
      </w:r>
      <w:r w:rsidR="00D25064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a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D25064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odonimija 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prevashodno je satkan</w:t>
      </w:r>
      <w:r w:rsidR="00D25064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a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od simbola povezanih sa raznim periodima istorije Srbije pre i nakon socijalizma. Više talasa preimenovanja ulica u postsocijalizmu, zaključno sa </w:t>
      </w:r>
      <w:bookmarkStart w:id="0" w:name="_Hlk131381475"/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procesom imenovanja </w:t>
      </w:r>
      <w:r w:rsidR="00CA198B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do tada </w:t>
      </w:r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neimenovanih ulica 2019/20. godine</w:t>
      </w:r>
      <w:bookmarkEnd w:id="0"/>
      <w:r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, ishodovali su potiskivanjem onih simbola koji se, najšire rečeno, povezuju sa II svetskim ratom, socijalizmom i jugoslovenstvom. Očigledno je da se u slučaju odonima Niša to kulturno pamćenje mobiliše i u izvesnoj meri usmerava u skladu sa ideološkim potrebama novih političkih elita – od nadnacionalnog ka nacionalnom i lokalnom okviru identifikacije.</w:t>
      </w:r>
      <w:r w:rsidR="00C2566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Uočena je i analizirana </w:t>
      </w:r>
      <w:r w:rsidR="00CA198B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raširena </w:t>
      </w:r>
      <w:r w:rsidR="00C2566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praksa neizgovaranje imena koja stoje na </w:t>
      </w:r>
      <w:r w:rsidR="00C2566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lastRenderedPageBreak/>
        <w:t xml:space="preserve">uličnim tablama i upotreba pređašnjih uličnih naziva u svakodnevnoj komunikaciji što je primer opstajanja paralelnog gradskog teksta kreiranog odozdo. </w:t>
      </w:r>
      <w:r w:rsidR="00105B4E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Najzad,</w:t>
      </w:r>
      <w:r w:rsidR="00C2566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precrtavanje imena na uličnim tablama sprejevima, ispisivanje grafita, iscrtavanje murala i fenomen </w:t>
      </w:r>
      <w:r w:rsidR="00C25661" w:rsidRPr="001F760A">
        <w:rPr>
          <w:rFonts w:ascii="Times New Roman" w:eastAsia="Calibri" w:hAnsi="Times New Roman" w:cs="Times New Roman"/>
          <w:i/>
          <w:iCs/>
          <w:sz w:val="24"/>
          <w:szCs w:val="24"/>
          <w:lang w:val="sr-Latn-RS"/>
        </w:rPr>
        <w:t>street art</w:t>
      </w:r>
      <w:r w:rsidR="00C25661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-a kao takav, takođe čine svojevrsni sponatno konstruisani simbolički sastav i vizuelni identitet grada</w:t>
      </w:r>
      <w:r w:rsidR="00BB18A6" w:rsidRPr="001F760A">
        <w:rPr>
          <w:rFonts w:ascii="Times New Roman" w:eastAsia="Calibri" w:hAnsi="Times New Roman" w:cs="Times New Roman"/>
          <w:sz w:val="24"/>
          <w:szCs w:val="24"/>
          <w:lang w:val="sr-Latn-RS"/>
        </w:rPr>
        <w:t>.</w:t>
      </w:r>
    </w:p>
    <w:p w14:paraId="01DC4255" w14:textId="461FD50A" w:rsidR="0008018A" w:rsidRPr="001F760A" w:rsidRDefault="0008018A" w:rsidP="001F760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Razlozi što visoko vrednujem ovu studiju i preporučujem je za objavljivanje su sledeći. Autorke 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su uspele</w:t>
      </w:r>
      <w:r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da polazeci od teorijskih saznanja više naučnih disciplina (semiologija, sociologija grada, politike i kulture, ali ne manje i istorija i onomastologija)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prikažu i objasne procese imenovanja i preimenovanja ulica na primeru jednog grada - Niša. On je 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bio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svojevrsna, kako to autorke kažu, </w:t>
      </w:r>
      <w:r w:rsidR="00535EBE" w:rsidRPr="001F760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laboratorija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koja omogućava uvid u sadašnjost ali ne manje i u kulturu sećanja (i zaborava) ali i 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>njen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delatn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dimenzij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– politik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sećanja. Tu je i ne manje važan doprinos samospoznaji stanovnika grada – Nišlija koji je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>s onu stranu njenih nesumnjivih akademskih kvaliteta. Studija</w:t>
      </w:r>
      <w:r w:rsidR="00093113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SOCIOLOŠKO ČITANJE GRADSKOG TEKSTA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čije su autorke Jelena Božilović i Jelena Petković 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teorijski  i empirijski potvrđuje ali i relativizuje latinsku izreku </w:t>
      </w:r>
      <w:r w:rsidR="00535EBE" w:rsidRPr="001F760A">
        <w:rPr>
          <w:rFonts w:ascii="Times New Roman" w:hAnsi="Times New Roman" w:cs="Times New Roman"/>
          <w:i/>
          <w:sz w:val="24"/>
          <w:szCs w:val="24"/>
          <w:lang w:val="sr-Latn-RS"/>
        </w:rPr>
        <w:t>nomen</w:t>
      </w:r>
      <w:r w:rsidR="000306D1" w:rsidRPr="001F760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 est </w:t>
      </w:r>
      <w:r w:rsidR="00535EBE" w:rsidRPr="001F760A">
        <w:rPr>
          <w:rFonts w:ascii="Times New Roman" w:hAnsi="Times New Roman" w:cs="Times New Roman"/>
          <w:i/>
          <w:sz w:val="24"/>
          <w:szCs w:val="24"/>
          <w:lang w:val="sr-Latn-RS"/>
        </w:rPr>
        <w:t>omen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poka</w:t>
      </w:r>
      <w:r w:rsidR="00093113" w:rsidRPr="001F760A">
        <w:rPr>
          <w:rFonts w:ascii="Times New Roman" w:hAnsi="Times New Roman" w:cs="Times New Roman"/>
          <w:sz w:val="24"/>
          <w:szCs w:val="24"/>
          <w:lang w:val="sr-Latn-RS"/>
        </w:rPr>
        <w:t>z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>ujući kako i koliko prošlost</w:t>
      </w:r>
      <w:r w:rsidR="00093113" w:rsidRPr="001F760A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kroz imenovanje, ali ne manje i </w:t>
      </w:r>
      <w:r w:rsidR="000306D1" w:rsidRPr="001F760A">
        <w:rPr>
          <w:rFonts w:ascii="Times New Roman" w:hAnsi="Times New Roman" w:cs="Times New Roman"/>
          <w:sz w:val="24"/>
          <w:szCs w:val="24"/>
          <w:lang w:val="sr-Latn-RS"/>
        </w:rPr>
        <w:t>putem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preimenovanj</w:t>
      </w:r>
      <w:r w:rsidR="000306D1" w:rsidRPr="001F760A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535EBE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ulica</w:t>
      </w:r>
      <w:r w:rsidR="00093113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utiče na sadašnjost  i budućnost </w:t>
      </w:r>
      <w:r w:rsidR="00BB18A6" w:rsidRPr="001F760A">
        <w:rPr>
          <w:rFonts w:ascii="Times New Roman" w:hAnsi="Times New Roman" w:cs="Times New Roman"/>
          <w:sz w:val="24"/>
          <w:szCs w:val="24"/>
          <w:lang w:val="sr-Latn-RS"/>
        </w:rPr>
        <w:t>jedne</w:t>
      </w:r>
      <w:r w:rsidR="00093113" w:rsidRPr="001F760A">
        <w:rPr>
          <w:rFonts w:ascii="Times New Roman" w:hAnsi="Times New Roman" w:cs="Times New Roman"/>
          <w:sz w:val="24"/>
          <w:szCs w:val="24"/>
          <w:lang w:val="sr-Latn-RS"/>
        </w:rPr>
        <w:t xml:space="preserve"> urbane zajednice. </w:t>
      </w:r>
    </w:p>
    <w:p w14:paraId="7A087A4B" w14:textId="67FDB938" w:rsidR="003D7A30" w:rsidRPr="001F760A" w:rsidRDefault="003D7A30" w:rsidP="001F760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</w:p>
    <w:p w14:paraId="1A1EE5CF" w14:textId="77777777" w:rsidR="00B47CB7" w:rsidRDefault="00B47CB7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</w:p>
    <w:p w14:paraId="25E769C9" w14:textId="77777777" w:rsidR="00B47CB7" w:rsidRDefault="00B47CB7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</w:p>
    <w:p w14:paraId="4A944C54" w14:textId="77777777" w:rsidR="00B47CB7" w:rsidRDefault="00B47CB7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</w:p>
    <w:p w14:paraId="7A9D588B" w14:textId="77777777" w:rsidR="00B47CB7" w:rsidRDefault="00B47CB7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</w:p>
    <w:p w14:paraId="79DEABCD" w14:textId="36411A5E" w:rsidR="003D7A30" w:rsidRDefault="001F760A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Beograd</w:t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 w:rsidR="00B47CB7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  <w:t>dr Branimir Stojković</w:t>
      </w:r>
    </w:p>
    <w:p w14:paraId="4C5B2A4B" w14:textId="14F50DFE" w:rsidR="00B47CB7" w:rsidRPr="001F760A" w:rsidRDefault="00B47CB7" w:rsidP="001F760A">
      <w:pPr>
        <w:spacing w:after="0" w:line="360" w:lineRule="auto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</w:pP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>15. maj 2023.</w:t>
      </w: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</w:r>
      <w:r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Latn-RS"/>
        </w:rPr>
        <w:tab/>
        <w:t>redovni profesor (u penziji) Fakulteta političkih nauka.</w:t>
      </w:r>
    </w:p>
    <w:p w14:paraId="47E55EFF" w14:textId="7293C718" w:rsidR="00362051" w:rsidRPr="001F760A" w:rsidRDefault="00362051" w:rsidP="001F760A">
      <w:pPr>
        <w:spacing w:after="0" w:line="360" w:lineRule="auto"/>
        <w:rPr>
          <w:rFonts w:ascii="Times New Roman" w:hAnsi="Times New Roman" w:cs="Times New Roman"/>
          <w:bCs/>
          <w:kern w:val="2"/>
          <w:sz w:val="24"/>
          <w:szCs w:val="24"/>
          <w:lang w:val="sr-Latn-RS"/>
          <w14:ligatures w14:val="standardContextual"/>
        </w:rPr>
      </w:pPr>
    </w:p>
    <w:p w14:paraId="57168D6B" w14:textId="1598A451" w:rsidR="00AD5FAB" w:rsidRPr="001F760A" w:rsidRDefault="00AD5FAB" w:rsidP="001F760A">
      <w:pPr>
        <w:spacing w:after="0" w:line="360" w:lineRule="auto"/>
        <w:rPr>
          <w:rFonts w:ascii="Times New Roman" w:hAnsi="Times New Roman" w:cs="Times New Roman"/>
          <w:bCs/>
          <w:kern w:val="2"/>
          <w:sz w:val="24"/>
          <w:szCs w:val="24"/>
          <w:lang w:val="hr-HR"/>
          <w14:ligatures w14:val="standardContextual"/>
        </w:rPr>
      </w:pPr>
    </w:p>
    <w:p w14:paraId="09B1337D" w14:textId="76347FC5" w:rsidR="00362051" w:rsidRPr="001F760A" w:rsidRDefault="00904068" w:rsidP="001F760A">
      <w:pPr>
        <w:spacing w:after="0" w:line="360" w:lineRule="auto"/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</w:pPr>
      <w:r w:rsidRPr="001F760A">
        <w:rPr>
          <w:rFonts w:ascii="Times New Roman" w:hAnsi="Times New Roman" w:cs="Times New Roman"/>
          <w:bCs/>
          <w:kern w:val="2"/>
          <w:sz w:val="24"/>
          <w:szCs w:val="24"/>
          <w:lang w:val="sr-Cyrl-RS"/>
          <w14:ligatures w14:val="standardContextual"/>
        </w:rPr>
        <w:t xml:space="preserve"> </w:t>
      </w:r>
    </w:p>
    <w:p w14:paraId="7B7CE0E3" w14:textId="3CE6FDC6" w:rsidR="00362051" w:rsidRPr="001F760A" w:rsidRDefault="00362051" w:rsidP="001F760A">
      <w:pPr>
        <w:spacing w:line="360" w:lineRule="auto"/>
        <w:rPr>
          <w:sz w:val="24"/>
          <w:szCs w:val="24"/>
          <w:lang w:val="hr-HR"/>
        </w:rPr>
      </w:pPr>
    </w:p>
    <w:p w14:paraId="2DC9622B" w14:textId="21C7E889" w:rsidR="00362051" w:rsidRPr="001F760A" w:rsidRDefault="00362051" w:rsidP="001F760A">
      <w:pPr>
        <w:spacing w:line="360" w:lineRule="auto"/>
        <w:rPr>
          <w:sz w:val="24"/>
          <w:szCs w:val="24"/>
          <w:lang w:val="hr-HR"/>
        </w:rPr>
      </w:pPr>
    </w:p>
    <w:p w14:paraId="0D308C3D" w14:textId="77777777" w:rsidR="00362051" w:rsidRPr="001F760A" w:rsidRDefault="00362051" w:rsidP="001F760A">
      <w:pPr>
        <w:spacing w:line="360" w:lineRule="auto"/>
        <w:rPr>
          <w:sz w:val="24"/>
          <w:szCs w:val="24"/>
          <w:lang w:val="hr-HR"/>
        </w:rPr>
      </w:pPr>
    </w:p>
    <w:p w14:paraId="6AD8A45F" w14:textId="77777777" w:rsidR="00E250E8" w:rsidRPr="001F760A" w:rsidRDefault="00E250E8" w:rsidP="001F760A">
      <w:pPr>
        <w:spacing w:line="360" w:lineRule="auto"/>
        <w:rPr>
          <w:sz w:val="24"/>
          <w:szCs w:val="24"/>
          <w:lang w:val="hr-HR"/>
        </w:rPr>
      </w:pPr>
    </w:p>
    <w:sectPr w:rsidR="00E250E8" w:rsidRPr="001F760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23DA9" w14:textId="77777777" w:rsidR="00493F52" w:rsidRDefault="00493F52" w:rsidP="000D5577">
      <w:pPr>
        <w:spacing w:after="0" w:line="240" w:lineRule="auto"/>
      </w:pPr>
      <w:r>
        <w:separator/>
      </w:r>
    </w:p>
  </w:endnote>
  <w:endnote w:type="continuationSeparator" w:id="0">
    <w:p w14:paraId="7BDADFE3" w14:textId="77777777" w:rsidR="00493F52" w:rsidRDefault="00493F52" w:rsidP="000D5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852630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C57D1C" w14:textId="3F423291" w:rsidR="000D5577" w:rsidRDefault="000D557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333B550" w14:textId="77777777" w:rsidR="000D5577" w:rsidRDefault="000D5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18323" w14:textId="77777777" w:rsidR="00493F52" w:rsidRDefault="00493F52" w:rsidP="000D5577">
      <w:pPr>
        <w:spacing w:after="0" w:line="240" w:lineRule="auto"/>
      </w:pPr>
      <w:r>
        <w:separator/>
      </w:r>
    </w:p>
  </w:footnote>
  <w:footnote w:type="continuationSeparator" w:id="0">
    <w:p w14:paraId="3F578716" w14:textId="77777777" w:rsidR="00493F52" w:rsidRDefault="00493F52" w:rsidP="000D55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F07"/>
    <w:rsid w:val="00027C3F"/>
    <w:rsid w:val="000306D1"/>
    <w:rsid w:val="000700A8"/>
    <w:rsid w:val="0008018A"/>
    <w:rsid w:val="00093113"/>
    <w:rsid w:val="00093465"/>
    <w:rsid w:val="000A71A4"/>
    <w:rsid w:val="000D5577"/>
    <w:rsid w:val="00105B4E"/>
    <w:rsid w:val="00130E67"/>
    <w:rsid w:val="001343E1"/>
    <w:rsid w:val="00137C24"/>
    <w:rsid w:val="0014115C"/>
    <w:rsid w:val="001A7971"/>
    <w:rsid w:val="001F2188"/>
    <w:rsid w:val="001F760A"/>
    <w:rsid w:val="00287D96"/>
    <w:rsid w:val="002B6232"/>
    <w:rsid w:val="00307ACD"/>
    <w:rsid w:val="0034545D"/>
    <w:rsid w:val="00362051"/>
    <w:rsid w:val="00370F07"/>
    <w:rsid w:val="003D7A30"/>
    <w:rsid w:val="00412E67"/>
    <w:rsid w:val="00440556"/>
    <w:rsid w:val="004514FD"/>
    <w:rsid w:val="0049169E"/>
    <w:rsid w:val="00493F52"/>
    <w:rsid w:val="00535EBE"/>
    <w:rsid w:val="00554FB6"/>
    <w:rsid w:val="00572C3E"/>
    <w:rsid w:val="005B2F59"/>
    <w:rsid w:val="005D4AA4"/>
    <w:rsid w:val="005E25F3"/>
    <w:rsid w:val="006005F1"/>
    <w:rsid w:val="0062342B"/>
    <w:rsid w:val="00633D63"/>
    <w:rsid w:val="00633DAD"/>
    <w:rsid w:val="00681B27"/>
    <w:rsid w:val="006B2EAB"/>
    <w:rsid w:val="006F4229"/>
    <w:rsid w:val="006F5C68"/>
    <w:rsid w:val="00712106"/>
    <w:rsid w:val="00734181"/>
    <w:rsid w:val="00801752"/>
    <w:rsid w:val="00821670"/>
    <w:rsid w:val="0088436E"/>
    <w:rsid w:val="008B3CD1"/>
    <w:rsid w:val="008E2141"/>
    <w:rsid w:val="00904068"/>
    <w:rsid w:val="00940EDF"/>
    <w:rsid w:val="009B4163"/>
    <w:rsid w:val="009B49A3"/>
    <w:rsid w:val="00A333C2"/>
    <w:rsid w:val="00A46B25"/>
    <w:rsid w:val="00AD5FAB"/>
    <w:rsid w:val="00AD72B5"/>
    <w:rsid w:val="00B47CB7"/>
    <w:rsid w:val="00B75552"/>
    <w:rsid w:val="00B845F4"/>
    <w:rsid w:val="00BB18A6"/>
    <w:rsid w:val="00BF0AEE"/>
    <w:rsid w:val="00C25661"/>
    <w:rsid w:val="00C30474"/>
    <w:rsid w:val="00C368CB"/>
    <w:rsid w:val="00C5568F"/>
    <w:rsid w:val="00C65F7C"/>
    <w:rsid w:val="00C661BE"/>
    <w:rsid w:val="00CA198B"/>
    <w:rsid w:val="00CA3E99"/>
    <w:rsid w:val="00CC4399"/>
    <w:rsid w:val="00CD0FE4"/>
    <w:rsid w:val="00D25064"/>
    <w:rsid w:val="00DA572C"/>
    <w:rsid w:val="00DC1D19"/>
    <w:rsid w:val="00DE008E"/>
    <w:rsid w:val="00E250E8"/>
    <w:rsid w:val="00E30561"/>
    <w:rsid w:val="00EB1793"/>
    <w:rsid w:val="00F36277"/>
    <w:rsid w:val="00F448BB"/>
    <w:rsid w:val="00F678BB"/>
    <w:rsid w:val="00F877D2"/>
    <w:rsid w:val="00F9128C"/>
    <w:rsid w:val="00FE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237DF"/>
  <w15:chartTrackingRefBased/>
  <w15:docId w15:val="{0E8907C8-F96C-4CA4-8CC5-E1F4AB333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D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5577"/>
  </w:style>
  <w:style w:type="paragraph" w:styleId="Footer">
    <w:name w:val="footer"/>
    <w:basedOn w:val="Normal"/>
    <w:link w:val="FooterChar"/>
    <w:uiPriority w:val="99"/>
    <w:unhideWhenUsed/>
    <w:rsid w:val="000D55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5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Snežana Miljković</cp:lastModifiedBy>
  <cp:revision>2</cp:revision>
  <dcterms:created xsi:type="dcterms:W3CDTF">2023-05-17T06:15:00Z</dcterms:created>
  <dcterms:modified xsi:type="dcterms:W3CDTF">2023-05-17T06:15:00Z</dcterms:modified>
</cp:coreProperties>
</file>